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B8" w:rsidRPr="00C01530" w:rsidRDefault="00D267B8" w:rsidP="00D267B8">
      <w:pPr>
        <w:pStyle w:val="Heading1"/>
        <w:rPr>
          <w:rFonts w:eastAsia="Times New Roman"/>
          <w:i/>
          <w:lang w:val="en-US" w:bidi="en-US"/>
        </w:rPr>
      </w:pPr>
      <w:bookmarkStart w:id="0" w:name="_Toc187042811"/>
      <w:r w:rsidRPr="00C01530">
        <w:rPr>
          <w:rFonts w:eastAsia="Times New Roman"/>
          <w:i/>
          <w:lang w:val="en" w:bidi="en-US"/>
        </w:rPr>
        <w:t>ABST</w:t>
      </w:r>
      <w:bookmarkStart w:id="1" w:name="_GoBack"/>
      <w:bookmarkEnd w:id="1"/>
      <w:r w:rsidRPr="00C01530">
        <w:rPr>
          <w:rFonts w:eastAsia="Times New Roman"/>
          <w:i/>
          <w:lang w:val="en" w:bidi="en-US"/>
        </w:rPr>
        <w:t>RACT</w:t>
      </w:r>
      <w:bookmarkEnd w:id="0"/>
    </w:p>
    <w:p w:rsidR="00D267B8" w:rsidRPr="00154D1F" w:rsidRDefault="00D267B8" w:rsidP="00D267B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kern w:val="2"/>
          <w:sz w:val="24"/>
          <w:lang w:val="en-US" w:bidi="en-US"/>
          <w14:ligatures w14:val="standardContextual"/>
        </w:rPr>
      </w:pPr>
    </w:p>
    <w:p w:rsidR="00D267B8" w:rsidRDefault="00D267B8" w:rsidP="00D267B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val="en" w:bidi="en-US"/>
          <w14:ligatures w14:val="standardContextual"/>
        </w:rPr>
      </w:pPr>
      <w:r w:rsidRPr="00481851"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val="en" w:bidi="en-US"/>
          <w14:ligatures w14:val="standardContextual"/>
        </w:rPr>
        <w:t>THE RELATIONSHIP LEVEL OF KNOWLEDGE ABOUT MENSTRUATION WITH READINESS FOR MENARCHE</w:t>
      </w:r>
      <w:r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val="en" w:bidi="en-US"/>
          <w14:ligatures w14:val="standardContextual"/>
        </w:rPr>
        <w:t xml:space="preserve"> </w:t>
      </w:r>
      <w:r w:rsidRPr="00481851"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val="en" w:bidi="en-US"/>
          <w14:ligatures w14:val="standardContextual"/>
        </w:rPr>
        <w:t>IN TEENAGE GIRLS CLASS VII</w:t>
      </w:r>
    </w:p>
    <w:p w:rsidR="00D267B8" w:rsidRPr="00154D1F" w:rsidRDefault="00D267B8" w:rsidP="00D267B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lang w:val="en-US" w:bidi="en-US"/>
          <w14:ligatures w14:val="standardContextual"/>
        </w:rPr>
      </w:pPr>
    </w:p>
    <w:p w:rsidR="00D267B8" w:rsidRPr="00154D1F" w:rsidRDefault="00D267B8" w:rsidP="00D267B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vertAlign w:val="superscript"/>
          <w:lang w:val="en-US" w:bidi="en-US"/>
          <w14:ligatures w14:val="standardContextual"/>
        </w:rPr>
      </w:pPr>
      <w:r w:rsidRPr="00561CBE">
        <w:rPr>
          <w:rFonts w:ascii="Times New Roman" w:eastAsia="Times New Roman" w:hAnsi="Times New Roman" w:cs="Times New Roman"/>
          <w:bCs/>
          <w:kern w:val="2"/>
          <w:sz w:val="24"/>
          <w:lang w:val="en-US" w:bidi="en-US"/>
          <w14:ligatures w14:val="standardContextual"/>
        </w:rPr>
        <w:t>Ni Putu Dian Yunita Dewi</w:t>
      </w:r>
      <w:r w:rsidRPr="00481851">
        <w:rPr>
          <w:rFonts w:ascii="Times New Roman" w:eastAsia="Times New Roman" w:hAnsi="Times New Roman" w:cs="Times New Roman"/>
          <w:bCs/>
          <w:kern w:val="2"/>
          <w:sz w:val="24"/>
          <w:vertAlign w:val="superscript"/>
          <w:lang w:val="en-US" w:bidi="en-US"/>
          <w14:ligatures w14:val="standardContextual"/>
        </w:rPr>
        <w:t xml:space="preserve"> </w:t>
      </w:r>
      <w:r w:rsidRPr="00154D1F">
        <w:rPr>
          <w:rFonts w:ascii="Times New Roman" w:eastAsia="Times New Roman" w:hAnsi="Times New Roman" w:cs="Times New Roman"/>
          <w:bCs/>
          <w:kern w:val="2"/>
          <w:sz w:val="24"/>
          <w:vertAlign w:val="superscript"/>
          <w:lang w:val="en-US" w:bidi="en-US"/>
          <w14:ligatures w14:val="standardContextual"/>
        </w:rPr>
        <w:t>1</w:t>
      </w:r>
      <w:r w:rsidRPr="00154D1F">
        <w:rPr>
          <w:rFonts w:ascii="Times New Roman" w:eastAsia="Times New Roman" w:hAnsi="Times New Roman" w:cs="Times New Roman"/>
          <w:bCs/>
          <w:kern w:val="2"/>
          <w:sz w:val="24"/>
          <w:lang w:val="en-US" w:bidi="en-US"/>
          <w14:ligatures w14:val="standardContextual"/>
        </w:rPr>
        <w:t xml:space="preserve">, </w:t>
      </w:r>
      <w:r w:rsidRPr="00481851">
        <w:rPr>
          <w:rFonts w:ascii="Times New Roman" w:eastAsia="Times New Roman" w:hAnsi="Times New Roman" w:cs="Times New Roman"/>
          <w:bCs/>
          <w:kern w:val="2"/>
          <w:sz w:val="24"/>
          <w:lang w:bidi="en-US"/>
          <w14:ligatures w14:val="standardContextual"/>
        </w:rPr>
        <w:t xml:space="preserve">Ni Ketut Citrawati </w:t>
      </w:r>
      <w:r w:rsidRPr="00154D1F">
        <w:rPr>
          <w:rFonts w:ascii="Times New Roman" w:eastAsia="Times New Roman" w:hAnsi="Times New Roman" w:cs="Times New Roman"/>
          <w:bCs/>
          <w:kern w:val="2"/>
          <w:sz w:val="24"/>
          <w:vertAlign w:val="superscript"/>
          <w:lang w:val="en-US" w:bidi="en-US"/>
          <w14:ligatures w14:val="standardContextual"/>
        </w:rPr>
        <w:t>2</w:t>
      </w:r>
      <w:r w:rsidRPr="00154D1F">
        <w:rPr>
          <w:rFonts w:ascii="Times New Roman" w:eastAsia="Times New Roman" w:hAnsi="Times New Roman" w:cs="Times New Roman"/>
          <w:bCs/>
          <w:kern w:val="2"/>
          <w:sz w:val="24"/>
          <w:lang w:val="en-US" w:bidi="en-US"/>
          <w14:ligatures w14:val="standardContextual"/>
        </w:rPr>
        <w:t xml:space="preserve">, </w:t>
      </w:r>
      <w:r w:rsidRPr="00481851">
        <w:rPr>
          <w:rFonts w:ascii="Times New Roman" w:eastAsia="Times New Roman" w:hAnsi="Times New Roman" w:cs="Times New Roman"/>
          <w:bCs/>
          <w:kern w:val="2"/>
          <w:sz w:val="24"/>
          <w:lang w:bidi="en-US"/>
          <w14:ligatures w14:val="standardContextual"/>
        </w:rPr>
        <w:t>Anak Agung Sri Sanjiwani</w:t>
      </w:r>
      <w:r w:rsidRPr="00154D1F">
        <w:rPr>
          <w:rFonts w:ascii="Times New Roman" w:eastAsia="Times New Roman" w:hAnsi="Times New Roman" w:cs="Times New Roman"/>
          <w:bCs/>
          <w:kern w:val="2"/>
          <w:sz w:val="24"/>
          <w:vertAlign w:val="superscript"/>
          <w:lang w:val="en-US" w:bidi="en-US"/>
          <w14:ligatures w14:val="standardContextual"/>
        </w:rPr>
        <w:t>3</w:t>
      </w:r>
    </w:p>
    <w:p w:rsidR="00D267B8" w:rsidRPr="00154D1F" w:rsidRDefault="00D267B8" w:rsidP="00D267B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SimSun"/>
          <w:kern w:val="2"/>
          <w:sz w:val="24"/>
          <w:lang w:val="en-US" w:bidi="en-US"/>
          <w14:ligatures w14:val="standardContextual"/>
        </w:rPr>
      </w:pPr>
    </w:p>
    <w:p w:rsidR="00D267B8" w:rsidRPr="00481851" w:rsidRDefault="00D267B8" w:rsidP="00D267B8">
      <w:pPr>
        <w:widowControl w:val="0"/>
        <w:autoSpaceDE w:val="0"/>
        <w:autoSpaceDN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-ID" w:bidi="en-US"/>
          <w14:ligatures w14:val="standardContextual"/>
        </w:rPr>
      </w:pPr>
      <w:r w:rsidRPr="00481851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" w:bidi="en-US"/>
          <w14:ligatures w14:val="standardContextual"/>
        </w:rPr>
        <w:t xml:space="preserve"> Puberty that occurs in </w:t>
      </w:r>
      <w:r w:rsidRPr="003634BF">
        <w:rPr>
          <w:rFonts w:ascii="Times New Roman" w:eastAsia="Times New Roman" w:hAnsi="Times New Roman" w:cs="Times New Roman"/>
          <w:i/>
          <w:iCs/>
          <w:color w:val="000000" w:themeColor="text1"/>
          <w:kern w:val="2"/>
          <w:sz w:val="24"/>
          <w:szCs w:val="24"/>
          <w:lang w:val="en" w:bidi="en-US"/>
          <w14:ligatures w14:val="standardContextual"/>
        </w:rPr>
        <w:t xml:space="preserve">adolescent girls is </w:t>
      </w:r>
      <w:r w:rsidRPr="00481851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" w:bidi="en-US"/>
          <w14:ligatures w14:val="standardContextual"/>
        </w:rPr>
        <w:t xml:space="preserve">usually marked by 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" w:bidi="en-US"/>
          <w14:ligatures w14:val="standardContextual"/>
        </w:rPr>
        <w:t xml:space="preserve">the onset of menarche. 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bidi="en-US"/>
          <w14:ligatures w14:val="standardContextual"/>
        </w:rPr>
        <w:t xml:space="preserve">Menarche occurs between the ages of 11 and 13 years with a population of adolescent girls in the world of around 1,2 bilion people (18%). 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" w:bidi="en-US"/>
          <w14:ligatures w14:val="standardContextual"/>
        </w:rPr>
        <w:t>The unpreparedness of teenage gir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bidi="en-US"/>
          <w14:ligatures w14:val="standardContextual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" w:bidi="en-US"/>
          <w14:ligatures w14:val="standardContextual"/>
        </w:rPr>
        <w:t xml:space="preserve"> in facing</w:t>
      </w:r>
      <w:r w:rsidRPr="00481851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" w:bidi="en-US"/>
          <w14:ligatures w14:val="standardContextual"/>
        </w:rPr>
        <w:t xml:space="preserve"> menarche will result in feelings of shame and fear. One of the factors that infl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" w:bidi="en-US"/>
          <w14:ligatures w14:val="standardContextual"/>
        </w:rPr>
        <w:t xml:space="preserve">uences 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bidi="en-US"/>
          <w14:ligatures w14:val="standardContextual"/>
        </w:rPr>
        <w:t>the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" w:bidi="en-US"/>
          <w14:ligatures w14:val="standardContextual"/>
        </w:rPr>
        <w:t xml:space="preserve"> readiness of teenage gir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bidi="en-US"/>
          <w14:ligatures w14:val="standardContextual"/>
        </w:rPr>
        <w:t xml:space="preserve">ls 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" w:bidi="en-US"/>
          <w14:ligatures w14:val="standardContextual"/>
        </w:rPr>
        <w:t>to</w:t>
      </w:r>
      <w:r w:rsidRPr="00481851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" w:bidi="en-US"/>
          <w14:ligatures w14:val="standardContextual"/>
        </w:rPr>
        <w:t xml:space="preserve"> face menarche is the knowledge they have about menstruation. This study aims to determine the relationship between the level of knowledge about menstruation and readiness to face menarche in </w:t>
      </w:r>
      <w:bookmarkStart w:id="2" w:name="_Hlk184489219"/>
      <w:r w:rsidRPr="00481851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" w:bidi="en-US"/>
          <w14:ligatures w14:val="standardContextual"/>
        </w:rPr>
        <w:t xml:space="preserve">teenage girls </w:t>
      </w:r>
      <w:bookmarkEnd w:id="2"/>
      <w:r w:rsidRPr="00481851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" w:bidi="en-US"/>
          <w14:ligatures w14:val="standardContextual"/>
        </w:rPr>
        <w:t xml:space="preserve">class VII at SMP Negeri Hindu 2 Sukawati. 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bidi="en-US"/>
          <w14:ligatures w14:val="standardContextual"/>
        </w:rPr>
        <w:t xml:space="preserve">The descriptive correlation </w:t>
      </w:r>
      <w:r w:rsidRPr="00481851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" w:bidi="en-US"/>
          <w14:ligatures w14:val="standardContextual"/>
        </w:rPr>
        <w:t>research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bidi="en-US"/>
          <w14:ligatures w14:val="standardContextual"/>
        </w:rPr>
        <w:t xml:space="preserve"> design</w:t>
      </w:r>
      <w:r w:rsidRPr="00481851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" w:bidi="en-US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" w:bidi="en-US"/>
          <w14:ligatures w14:val="standardContextual"/>
        </w:rPr>
        <w:t xml:space="preserve">is 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bidi="en-US"/>
          <w14:ligatures w14:val="standardContextual"/>
        </w:rPr>
        <w:t xml:space="preserve">a quantitative </w:t>
      </w:r>
      <w:r w:rsidRPr="00481851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" w:bidi="en-US"/>
          <w14:ligatures w14:val="standardContextual"/>
        </w:rPr>
        <w:t>research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bidi="en-US"/>
          <w14:ligatures w14:val="standardContextual"/>
        </w:rPr>
        <w:t xml:space="preserve"> method with a cross-sectional approach. The sample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" w:bidi="en-US"/>
          <w14:ligatures w14:val="standardContextual"/>
        </w:rPr>
        <w:t xml:space="preserve"> is study amounted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bidi="en-US"/>
          <w14:ligatures w14:val="standardContextual"/>
        </w:rPr>
        <w:t xml:space="preserve"> to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" w:bidi="en-US"/>
          <w14:ligatures w14:val="standardContextual"/>
        </w:rPr>
        <w:t xml:space="preserve"> </w:t>
      </w:r>
      <w:r w:rsidRPr="00481851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" w:bidi="en-US"/>
          <w14:ligatures w14:val="standardContextual"/>
        </w:rPr>
        <w:t xml:space="preserve"> 67 respondents 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bidi="en-US"/>
          <w14:ligatures w14:val="standardContextual"/>
        </w:rPr>
        <w:t xml:space="preserve">using 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" w:bidi="en-US"/>
          <w14:ligatures w14:val="standardContextual"/>
        </w:rPr>
        <w:t>the</w:t>
      </w:r>
      <w:r w:rsidRPr="00481851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" w:bidi="en-US"/>
          <w14:ligatures w14:val="standardContextual"/>
        </w:rPr>
        <w:t xml:space="preserve"> total sampling technique. The research results found that most respondents were categorized as having sufficient knowledge about menstruation, namely 50 respondents (74.6%) and the majority were categorized as being ready to face menarche, namely 55 respondents (82.1%). Data analysis used the 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" w:bidi="en-US"/>
          <w14:ligatures w14:val="standardContextual"/>
        </w:rPr>
        <w:t>Spearman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bidi="en-US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" w:bidi="en-US"/>
          <w14:ligatures w14:val="standardContextual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bidi="en-US"/>
          <w14:ligatures w14:val="standardContextual"/>
        </w:rPr>
        <w:t xml:space="preserve">ank Correlation </w:t>
      </w:r>
      <w:r w:rsidRPr="00481851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" w:bidi="en-US"/>
          <w14:ligatures w14:val="standardContextual"/>
        </w:rPr>
        <w:t>statistical test at a significance level of α 0.05, obtaining a p value of 0.000 &lt; 0.05.  This shows that there is a relationship between the level of knowledge about menstruation and readiness to face men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" w:bidi="en-US"/>
          <w14:ligatures w14:val="standardContextual"/>
        </w:rPr>
        <w:t>arche in class VII teenage gir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bidi="en-US"/>
          <w14:ligatures w14:val="standardContextual"/>
        </w:rPr>
        <w:t xml:space="preserve">ls </w:t>
      </w:r>
      <w:r w:rsidRPr="00481851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" w:bidi="en-US"/>
          <w14:ligatures w14:val="standardContextual"/>
        </w:rPr>
        <w:t xml:space="preserve">at SMP Negeri Hindu 2 Sukawati. Knowledge about menstruation is one of the dominant factors in shaping the readiness of 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" w:bidi="en-US"/>
          <w14:ligatures w14:val="standardContextual"/>
        </w:rPr>
        <w:t>teenage gir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bidi="en-US"/>
          <w14:ligatures w14:val="standardContextual"/>
        </w:rPr>
        <w:t xml:space="preserve">ls </w:t>
      </w:r>
      <w:r w:rsidRPr="00481851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" w:bidi="en-US"/>
          <w14:ligatures w14:val="standardContextual"/>
        </w:rPr>
        <w:t>to face menarche. The better knowledge they hav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" w:bidi="en-US"/>
          <w14:ligatures w14:val="standardContextual"/>
        </w:rPr>
        <w:t>e, the better prepared teenage gir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bidi="en-US"/>
          <w14:ligatures w14:val="standardContextual"/>
        </w:rPr>
        <w:t xml:space="preserve">ls </w:t>
      </w:r>
      <w:r w:rsidRPr="00481851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" w:bidi="en-US"/>
          <w14:ligatures w14:val="standardContextual"/>
        </w:rPr>
        <w:t>will be to face menarche.</w:t>
      </w:r>
    </w:p>
    <w:p w:rsidR="00D267B8" w:rsidRPr="00154D1F" w:rsidRDefault="00D267B8" w:rsidP="00D267B8">
      <w:pPr>
        <w:widowControl w:val="0"/>
        <w:autoSpaceDE w:val="0"/>
        <w:autoSpaceDN w:val="0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-ID" w:bidi="en-US"/>
          <w14:ligatures w14:val="standardContextual"/>
        </w:rPr>
      </w:pPr>
    </w:p>
    <w:p w:rsidR="00D267B8" w:rsidRPr="00154D1F" w:rsidRDefault="00D267B8" w:rsidP="00D267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val="en" w:bidi="en-US"/>
          <w14:ligatures w14:val="standardContextual"/>
        </w:rPr>
      </w:pPr>
    </w:p>
    <w:p w:rsidR="00D267B8" w:rsidRDefault="00D267B8" w:rsidP="00D267B8">
      <w:pPr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val="en" w:bidi="en-US"/>
          <w14:ligatures w14:val="standardContextual"/>
        </w:rPr>
      </w:pPr>
      <w:r w:rsidRPr="00154D1F"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val="en" w:bidi="en-US"/>
          <w14:ligatures w14:val="standardContextual"/>
        </w:rPr>
        <w:t>Keywords:</w:t>
      </w:r>
      <w:r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val="en" w:bidi="en-US"/>
          <w14:ligatures w14:val="standardContextual"/>
        </w:rPr>
        <w:t xml:space="preserve"> </w:t>
      </w:r>
      <w:r w:rsidRPr="00481851"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val="en" w:bidi="en-US"/>
          <w14:ligatures w14:val="standardContextual"/>
        </w:rPr>
        <w:t>Readiness, Knowledge</w:t>
      </w:r>
      <w:r w:rsidRPr="00232939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val="en" w:bidi="en-US"/>
          <w14:ligatures w14:val="standardContextual"/>
        </w:rPr>
        <w:t>,</w:t>
      </w:r>
      <w:r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val="en" w:bidi="en-US"/>
          <w14:ligatures w14:val="standardContextual"/>
        </w:rPr>
        <w:t xml:space="preserve"> </w:t>
      </w:r>
      <w:r w:rsidRPr="00481851"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val="en" w:bidi="en-US"/>
          <w14:ligatures w14:val="standardContextual"/>
        </w:rPr>
        <w:t>Menarche</w:t>
      </w:r>
    </w:p>
    <w:p w:rsidR="00D267B8" w:rsidRDefault="00D267B8" w:rsidP="00D267B8">
      <w:pPr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val="en" w:bidi="en-US"/>
          <w14:ligatures w14:val="standardContextual"/>
        </w:rPr>
      </w:pPr>
    </w:p>
    <w:p w:rsidR="00D267B8" w:rsidRDefault="00D267B8" w:rsidP="00D267B8">
      <w:pPr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val="en" w:bidi="en-US"/>
          <w14:ligatures w14:val="standardContextual"/>
        </w:rPr>
      </w:pPr>
    </w:p>
    <w:p w:rsidR="008B2F6E" w:rsidRPr="00D267B8" w:rsidRDefault="008B2F6E">
      <w:pPr>
        <w:rPr>
          <w:rFonts w:ascii="Times New Roman" w:hAnsi="Times New Roman" w:cs="Times New Roman"/>
          <w:sz w:val="24"/>
          <w:szCs w:val="24"/>
        </w:rPr>
      </w:pPr>
    </w:p>
    <w:sectPr w:rsidR="008B2F6E" w:rsidRPr="00D267B8" w:rsidSect="00D267B8">
      <w:pgSz w:w="11906" w:h="16838"/>
      <w:pgMar w:top="2268" w:right="1701" w:bottom="1701" w:left="226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B8"/>
    <w:rsid w:val="00030F49"/>
    <w:rsid w:val="003605D0"/>
    <w:rsid w:val="004A1DEB"/>
    <w:rsid w:val="0053038F"/>
    <w:rsid w:val="00606B6B"/>
    <w:rsid w:val="008B2F6E"/>
    <w:rsid w:val="00A65505"/>
    <w:rsid w:val="00B74030"/>
    <w:rsid w:val="00BD58D8"/>
    <w:rsid w:val="00C25024"/>
    <w:rsid w:val="00D267B8"/>
    <w:rsid w:val="00E9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1AF36-3E88-4AF3-A5B1-9C9EC747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B8"/>
  </w:style>
  <w:style w:type="paragraph" w:styleId="Heading1">
    <w:name w:val="heading 1"/>
    <w:basedOn w:val="Normal"/>
    <w:next w:val="Normal"/>
    <w:link w:val="Heading1Char"/>
    <w:uiPriority w:val="9"/>
    <w:qFormat/>
    <w:rsid w:val="00D267B8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7B8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2025-02-04T05:22:00Z</dcterms:created>
  <dcterms:modified xsi:type="dcterms:W3CDTF">2025-02-04T05:23:00Z</dcterms:modified>
</cp:coreProperties>
</file>